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F36D00">
      <w:pPr>
        <w:spacing w:line="240" w:lineRule="auto"/>
        <w:jc w:val="center"/>
        <w:rPr>
          <w:rFonts w:hint="default"/>
          <w:b/>
          <w:bCs/>
        </w:rPr>
      </w:pPr>
      <w:r>
        <w:rPr>
          <w:rFonts w:hint="default"/>
          <w:b/>
          <w:bCs/>
        </w:rPr>
        <w:t>Shanshui Guan · Zhu Jianzhong</w:t>
      </w:r>
    </w:p>
    <w:p w14:paraId="6423330D">
      <w:pPr>
        <w:spacing w:line="240" w:lineRule="auto"/>
        <w:jc w:val="center"/>
        <w:rPr>
          <w:rFonts w:hint="default"/>
        </w:rPr>
      </w:pPr>
    </w:p>
    <w:p w14:paraId="620F3222">
      <w:pPr>
        <w:spacing w:line="240" w:lineRule="auto"/>
        <w:jc w:val="center"/>
        <w:rPr>
          <w:rFonts w:hint="default"/>
        </w:rPr>
      </w:pPr>
      <w:r>
        <w:rPr>
          <w:rFonts w:hint="default"/>
        </w:rPr>
        <w:t>Artist: Zhu Jianzhong</w:t>
      </w:r>
    </w:p>
    <w:p w14:paraId="04C60D3F">
      <w:pPr>
        <w:spacing w:line="240" w:lineRule="auto"/>
        <w:jc w:val="center"/>
        <w:rPr>
          <w:rFonts w:hint="default"/>
        </w:rPr>
      </w:pPr>
      <w:r>
        <w:rPr>
          <w:rFonts w:hint="default"/>
        </w:rPr>
        <w:t>Curator: Liu Xia</w:t>
      </w:r>
    </w:p>
    <w:p w14:paraId="627BACBB">
      <w:pPr>
        <w:spacing w:line="240" w:lineRule="auto"/>
        <w:jc w:val="center"/>
        <w:rPr>
          <w:rFonts w:hint="default"/>
        </w:rPr>
      </w:pPr>
      <w:r>
        <w:rPr>
          <w:rFonts w:hint="default"/>
        </w:rPr>
        <w:t>Duration: 2026.9.19–11.22</w:t>
      </w:r>
    </w:p>
    <w:p w14:paraId="025B6BB4">
      <w:pPr>
        <w:spacing w:line="240" w:lineRule="auto"/>
        <w:jc w:val="center"/>
        <w:rPr>
          <w:rFonts w:hint="default"/>
        </w:rPr>
      </w:pPr>
      <w:r>
        <w:rPr>
          <w:rFonts w:hint="default"/>
        </w:rPr>
        <w:t>Address: BTAP Space (Building 9, Huanchengboyuan Design Industrial Park, No.57 Wujiacun Road, Shijingshan District, Beijing)</w:t>
      </w:r>
    </w:p>
    <w:p w14:paraId="1EB2DA18">
      <w:pPr>
        <w:spacing w:line="240" w:lineRule="auto"/>
        <w:rPr>
          <w:rFonts w:hint="default"/>
        </w:rPr>
      </w:pPr>
    </w:p>
    <w:p w14:paraId="249E0D94">
      <w:pPr>
        <w:spacing w:line="240" w:lineRule="auto"/>
        <w:rPr>
          <w:rFonts w:hint="default"/>
        </w:rPr>
      </w:pPr>
    </w:p>
    <w:p w14:paraId="7094CEBA">
      <w:pPr>
        <w:spacing w:line="240" w:lineRule="auto"/>
        <w:rPr>
          <w:rFonts w:hint="default"/>
        </w:rPr>
      </w:pPr>
      <w:r>
        <w:rPr>
          <w:rFonts w:hint="default"/>
        </w:rPr>
        <w:t>In ancient times, warehouses served as solid, enclosed spaces for storing grain and goods. For contemporary galleries, warehouses also act as vital transit hubs and gathering places—holding artworks awaiting distribution while quietly building energy for future exhibitions. Yet most of the time, they remain hidden behind exhibition rooms, rarely experienced as spaces to be entered or viewed in their own right.</w:t>
      </w:r>
    </w:p>
    <w:p w14:paraId="72824594">
      <w:pPr>
        <w:spacing w:line="240" w:lineRule="auto"/>
        <w:rPr>
          <w:rFonts w:hint="default"/>
        </w:rPr>
      </w:pPr>
    </w:p>
    <w:p w14:paraId="3B9D139E">
      <w:pPr>
        <w:spacing w:line="240" w:lineRule="auto"/>
        <w:rPr>
          <w:rFonts w:hint="default"/>
        </w:rPr>
      </w:pPr>
      <w:r>
        <w:rPr>
          <w:rFonts w:hint="default"/>
        </w:rPr>
        <w:t xml:space="preserve">Today, a space within BTAP Space—originally functioning as a warehouse—is inaugurated as BTAP Space-DEPOT with its inaugural exhibition, </w:t>
      </w:r>
      <w:r>
        <w:rPr>
          <w:rFonts w:hint="default"/>
          <w:i/>
          <w:iCs/>
        </w:rPr>
        <w:t>Shanshui</w:t>
      </w:r>
      <w:r>
        <w:rPr>
          <w:rFonts w:hint="eastAsia"/>
          <w:i/>
          <w:iCs/>
          <w:lang w:val="en-US" w:eastAsia="zh-CN"/>
        </w:rPr>
        <w:t>·</w:t>
      </w:r>
      <w:r>
        <w:rPr>
          <w:rFonts w:hint="default"/>
          <w:i/>
          <w:iCs/>
        </w:rPr>
        <w:t>Zhu Jianzhong</w:t>
      </w:r>
      <w:r>
        <w:rPr>
          <w:rFonts w:hint="default"/>
        </w:rPr>
        <w:t>. Curated by Liu Xia, Manager of BTAP Space, the exhibition showcases a selection of recent works by Zhu Jianzhong.</w:t>
      </w:r>
    </w:p>
    <w:p w14:paraId="7679C1CE">
      <w:pPr>
        <w:spacing w:line="240" w:lineRule="auto"/>
        <w:rPr>
          <w:rFonts w:hint="default"/>
        </w:rPr>
      </w:pPr>
    </w:p>
    <w:p w14:paraId="34147FE1">
      <w:pPr>
        <w:spacing w:line="240" w:lineRule="auto"/>
        <w:rPr>
          <w:rFonts w:hint="default"/>
        </w:rPr>
      </w:pPr>
      <w:r>
        <w:rPr>
          <w:rFonts w:hint="default"/>
        </w:rPr>
        <w:t>Born in Nantong, Jiangsu in 1954, Zhu Jianzhong graduated from the Nanjing University of the Arts in 1982. He is a National First-Class Artist and a member of the China Artists Association. Moving beyond the rigid conventions of traditional literati painting, Zhu has developed a distinctive visual language marked by a subtle, serene, and quietly solemn atmosphere. Recurring motifs—a solitary pine or dawn redwood, the soft silhouette of a distant mountain, or a barely visible pavilion—emerge from a grey or blue-grey void, only to be absorbed back into it. This ongoing contemplation of "emptiness," "void," and "mirroring" defines the core character of his recent practice.</w:t>
      </w:r>
    </w:p>
    <w:p w14:paraId="1E47BCD8">
      <w:pPr>
        <w:spacing w:line="240" w:lineRule="auto"/>
        <w:rPr>
          <w:rFonts w:hint="default"/>
        </w:rPr>
      </w:pPr>
    </w:p>
    <w:p w14:paraId="07FCD286">
      <w:pPr>
        <w:spacing w:line="240" w:lineRule="auto"/>
        <w:rPr>
          <w:rFonts w:hint="default"/>
        </w:rPr>
      </w:pPr>
      <w:r>
        <w:rPr>
          <w:rFonts w:hint="default"/>
        </w:rPr>
        <w:t>Drawing on the physical layout of the gallery, the exhibition structures the viewing experience into four distinct stages: "Entering the Mountains (Ru Shan)," "Observing Forms (Guan Xiang)," "Embodied Dao (Ti Dao)," and "Reverent Contemplation (Yang Zhi)."</w:t>
      </w:r>
    </w:p>
    <w:p w14:paraId="38EFA577">
      <w:pPr>
        <w:spacing w:line="240" w:lineRule="auto"/>
        <w:rPr>
          <w:rFonts w:hint="default"/>
        </w:rPr>
      </w:pPr>
    </w:p>
    <w:p w14:paraId="1BF9FFDF">
      <w:pPr>
        <w:spacing w:line="240" w:lineRule="auto"/>
        <w:rPr>
          <w:rFonts w:hint="default"/>
        </w:rPr>
      </w:pPr>
      <w:r>
        <w:rPr>
          <w:rFonts w:hint="default"/>
        </w:rPr>
        <w:t xml:space="preserve">The first stage anchors itself in trees and mountains, immersing viewers directly into the world constructed on canvas. </w:t>
      </w:r>
    </w:p>
    <w:p w14:paraId="79055497">
      <w:pPr>
        <w:spacing w:line="240" w:lineRule="auto"/>
        <w:rPr>
          <w:rFonts w:hint="default"/>
        </w:rPr>
      </w:pPr>
    </w:p>
    <w:p w14:paraId="2CE36F8B">
      <w:pPr>
        <w:spacing w:line="240" w:lineRule="auto"/>
        <w:rPr>
          <w:rFonts w:hint="default"/>
        </w:rPr>
      </w:pPr>
      <w:r>
        <w:rPr>
          <w:rFonts w:hint="default"/>
        </w:rPr>
        <w:t xml:space="preserve">The second stage references Ni Zan’s classic "one water, two shores" composition, transitioning the perspective from an objective realm to a subjective mental landscape.  </w:t>
      </w:r>
    </w:p>
    <w:p w14:paraId="41F918AB">
      <w:pPr>
        <w:spacing w:line="240" w:lineRule="auto"/>
        <w:rPr>
          <w:rFonts w:hint="default"/>
        </w:rPr>
      </w:pPr>
    </w:p>
    <w:p w14:paraId="04917FFF">
      <w:pPr>
        <w:spacing w:line="240" w:lineRule="auto"/>
        <w:rPr>
          <w:rFonts w:hint="default"/>
        </w:rPr>
      </w:pPr>
      <w:r>
        <w:rPr>
          <w:rFonts w:hint="default"/>
        </w:rPr>
        <w:t xml:space="preserve">The third stage focuses on the texture of layered ink washes and subtle ink diffusions, inviting viewers to feel the dimension of time and space within the brushwork. </w:t>
      </w:r>
    </w:p>
    <w:p w14:paraId="79FA9676">
      <w:pPr>
        <w:spacing w:line="240" w:lineRule="auto"/>
        <w:rPr>
          <w:rFonts w:hint="default"/>
        </w:rPr>
      </w:pPr>
    </w:p>
    <w:p w14:paraId="27689F2E">
      <w:pPr>
        <w:spacing w:line="240" w:lineRule="auto"/>
        <w:rPr>
          <w:rFonts w:hint="default"/>
        </w:rPr>
      </w:pPr>
      <w:r>
        <w:rPr>
          <w:rFonts w:hint="default"/>
        </w:rPr>
        <w:t xml:space="preserve">The fourth stage culminates in a monumental five-meter painting that pushes the viewer’s experience—poised between dynamic motion and absolute stillness—toward a state where subject and object dissolve. </w:t>
      </w:r>
    </w:p>
    <w:p w14:paraId="0552EA3F">
      <w:pPr>
        <w:spacing w:line="240" w:lineRule="auto"/>
        <w:rPr>
          <w:rFonts w:hint="default"/>
        </w:rPr>
      </w:pPr>
    </w:p>
    <w:p w14:paraId="0DE1F025">
      <w:pPr>
        <w:spacing w:line="240" w:lineRule="auto"/>
        <w:rPr>
          <w:rFonts w:hint="default"/>
        </w:rPr>
      </w:pPr>
      <w:r>
        <w:rPr>
          <w:rFonts w:hint="default"/>
        </w:rPr>
        <w:t xml:space="preserve">Rather than a simple linear progression, these four stages interweave physical space, ink technique, and psychological resonance, allowing visitors to complete a journey from reality into the landscape, and back again. </w:t>
      </w:r>
    </w:p>
    <w:p w14:paraId="73123E4C">
      <w:bookmarkStart w:id="0" w:name="_GoBack"/>
      <w:bookmarkEnd w:id="0"/>
    </w:p>
    <w:sectPr>
      <w:pgSz w:w="11906" w:h="16838"/>
      <w:pgMar w:top="1440" w:right="1797" w:bottom="1440" w:left="1797" w:header="851" w:footer="992" w:gutter="0"/>
      <w:cols w:space="0" w:num="1"/>
      <w:docGrid w:type="lines" w:linePitch="38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w:panose1 w:val="020B0503020204020204"/>
    <w:charset w:val="86"/>
    <w:family w:val="swiss"/>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F295819"/>
    <w:rsid w:val="5F2958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before="60" w:after="60"/>
      <w:jc w:val="both"/>
    </w:pPr>
    <w:rPr>
      <w:rFonts w:ascii="Arial" w:hAnsi="Arial" w:eastAsia="Microsoft YaHei" w:cs="Arial"/>
      <w:color w:val="333333"/>
      <w:kern w:val="2"/>
      <w:sz w:val="22"/>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2026-09-19T04:30:00Z</dcterms:created>
  <dc:creator>寂满月寞相思</dc:creator>
  <cp:lastModifiedBy>寂满月寞相思</cp:lastModifiedBy>
  <dcterms:modified xsi:type="dcterms:W3CDTF">2026-09-19T04:30:47Z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57C3BAA8742E467FBF27172F46BA22CB_11</vt:lpwstr>
  </property>
  <property fmtid="{D5CDD505-2E9C-101B-9397-08002B2CF9AE}" pid="4" name="KSOTemplateDocerSaveRecord">
    <vt:lpwstr>eyJoZGlkIjoiOGIwMDA5Y2I1YmNmNmQxZGJkOTNjMDIwMGYxOTYxNTkiLCJ1c2VySWQiOiI1MTY4NzUzNTIifQ==</vt:lpwstr>
  </property>
</Properties>
</file>